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F" w:rsidRDefault="00D0495F">
      <w:pPr>
        <w:rPr>
          <w:rFonts w:hint="eastAsia"/>
        </w:rPr>
      </w:pPr>
      <w:bookmarkStart w:id="0" w:name="_GoBack"/>
      <w:bookmarkEnd w:id="0"/>
    </w:p>
    <w:p w:rsidR="00D0495F" w:rsidRDefault="00D0495F">
      <w:pPr>
        <w:rPr>
          <w:rFonts w:hint="eastAsia"/>
        </w:rPr>
      </w:pPr>
    </w:p>
    <w:p w:rsidR="00D0495F" w:rsidRDefault="008163C2">
      <w:pPr>
        <w:jc w:val="center"/>
        <w:rPr>
          <w:rFonts w:hint="eastAsia"/>
        </w:rPr>
      </w:pPr>
      <w:r>
        <w:t>KAEBUSTE LAHENDAMISE KORD</w:t>
      </w:r>
    </w:p>
    <w:p w:rsidR="00D0495F" w:rsidRDefault="00D0495F">
      <w:pPr>
        <w:jc w:val="center"/>
        <w:rPr>
          <w:rFonts w:hint="eastAsia"/>
        </w:rPr>
      </w:pPr>
    </w:p>
    <w:p w:rsidR="00D0495F" w:rsidRDefault="00D0495F">
      <w:pPr>
        <w:jc w:val="center"/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8163C2">
      <w:pPr>
        <w:numPr>
          <w:ilvl w:val="0"/>
          <w:numId w:val="1"/>
        </w:numPr>
        <w:rPr>
          <w:rFonts w:hint="eastAsia"/>
        </w:rPr>
      </w:pPr>
      <w:r>
        <w:t>Kaebuste esitamine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1.1.</w:t>
      </w:r>
      <w:r>
        <w:tab/>
        <w:t>Kaebused saab esitada suuliselt või kirjalikult.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1.2.</w:t>
      </w:r>
      <w:r>
        <w:tab/>
        <w:t xml:space="preserve">Suulised kaebuse puhul tutvustab administratsioon kaebuste lahendamise reegleid </w:t>
      </w:r>
      <w:r>
        <w:tab/>
        <w:t>ning palub võimalusel esitada kaebus kirjalikult.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1.3.</w:t>
      </w:r>
      <w:r>
        <w:tab/>
        <w:t>Suulisi</w:t>
      </w:r>
      <w:r>
        <w:t xml:space="preserve"> kaebusi ja ettepanekuid ei registreerita juhul, kui neile ei soovita kirjalikku vastust.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1.4.</w:t>
      </w:r>
      <w:r>
        <w:tab/>
        <w:t>Suuliselt kaebust või ettepanekut esitava isiku vastuvõtmisest võib keelduda, kui:</w:t>
      </w:r>
    </w:p>
    <w:p w:rsidR="00D0495F" w:rsidRDefault="00D0495F">
      <w:pPr>
        <w:rPr>
          <w:rFonts w:hint="eastAsia"/>
        </w:rPr>
      </w:pPr>
    </w:p>
    <w:p w:rsidR="00D0495F" w:rsidRDefault="008163C2">
      <w:pPr>
        <w:numPr>
          <w:ilvl w:val="1"/>
          <w:numId w:val="2"/>
        </w:numPr>
        <w:rPr>
          <w:rFonts w:hint="eastAsia"/>
        </w:rPr>
      </w:pPr>
      <w:r>
        <w:t>esitanud isikut ei ole võimalik kindlaks teha;</w:t>
      </w:r>
    </w:p>
    <w:p w:rsidR="00D0495F" w:rsidRDefault="008163C2">
      <w:pPr>
        <w:numPr>
          <w:ilvl w:val="1"/>
          <w:numId w:val="2"/>
        </w:numPr>
        <w:rPr>
          <w:rFonts w:hint="eastAsia"/>
        </w:rPr>
      </w:pPr>
      <w:r>
        <w:t>puuduvad esitanud isiku sidea</w:t>
      </w:r>
      <w:r>
        <w:t>ndmed;</w:t>
      </w:r>
    </w:p>
    <w:p w:rsidR="00D0495F" w:rsidRDefault="008163C2">
      <w:pPr>
        <w:numPr>
          <w:ilvl w:val="1"/>
          <w:numId w:val="2"/>
        </w:numPr>
        <w:rPr>
          <w:rFonts w:hint="eastAsia"/>
        </w:rPr>
      </w:pPr>
      <w:r>
        <w:t>isik ei väljenda oma soove ning neid ei õnnestu küsimuste esitamise abil välja selgitada;</w:t>
      </w:r>
    </w:p>
    <w:p w:rsidR="00D0495F" w:rsidRDefault="008163C2">
      <w:pPr>
        <w:numPr>
          <w:ilvl w:val="1"/>
          <w:numId w:val="2"/>
        </w:numPr>
        <w:rPr>
          <w:rFonts w:hint="eastAsia"/>
        </w:rPr>
      </w:pPr>
      <w:r>
        <w:t>Kui asutus leiab, et esitatud seisukoha, kaebuse või etttepaneku arvestamine, sellele vastamine või soovitud teabe ja selgituse andmine ei ole asutuse pädevuse</w:t>
      </w:r>
      <w:r>
        <w:t>s, teatab ta sellest isikule ning nimetab asutuse või organi, kelle pädevusse küsimus kuulub.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1.5.</w:t>
      </w:r>
      <w:r>
        <w:tab/>
        <w:t>Kirjalikud kaebused esitatakse kas e-maili või koduleheküljel oleva formaadi kaudu.</w:t>
      </w: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8163C2">
      <w:pPr>
        <w:numPr>
          <w:ilvl w:val="0"/>
          <w:numId w:val="1"/>
        </w:numPr>
        <w:rPr>
          <w:rFonts w:hint="eastAsia"/>
        </w:rPr>
      </w:pPr>
      <w:r>
        <w:t>Kaebuste lahendamine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2.1.</w:t>
      </w:r>
      <w:r>
        <w:tab/>
        <w:t>Kirjalikult saabunud ettepanekuid ja kaebus</w:t>
      </w:r>
      <w:r>
        <w:t xml:space="preserve">i menetleb asutuse  juhataja või </w:t>
      </w:r>
      <w:r>
        <w:tab/>
        <w:t>administratsioon.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2.1.</w:t>
      </w:r>
      <w:r>
        <w:tab/>
        <w:t xml:space="preserve">Kirjalikele kaebustele vastatakse kirjalikult esimesel võimalusel, kuid mitte hiljem kui 30 </w:t>
      </w:r>
      <w:r>
        <w:tab/>
        <w:t>kalendipäeva jooksul.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2.2.</w:t>
      </w:r>
      <w:r>
        <w:tab/>
        <w:t>Vajadusel kaasatakse lahendamisel vastava valdkonna asjatundjad.</w:t>
      </w: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2.3.</w:t>
      </w:r>
      <w:r>
        <w:tab/>
      </w:r>
      <w:r>
        <w:t>Ettepanekute ja kaebuste lahendamise ja vastamise aluseks on EV seadus „Märgukirjale ja selgitustaotlusele vastamise seadus“, mis sätestab, et ettepanekule/kaebusele vastatakse viivitamata, kuid mitte hiljem kui 30 kalendripäeva jooksul selle registreerimi</w:t>
      </w:r>
      <w:r>
        <w:t>sest.</w:t>
      </w: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Anu Kaasik</w:t>
      </w: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D0495F">
      <w:pPr>
        <w:rPr>
          <w:rFonts w:hint="eastAsia"/>
        </w:rPr>
      </w:pPr>
    </w:p>
    <w:p w:rsidR="00D0495F" w:rsidRDefault="008163C2">
      <w:pPr>
        <w:rPr>
          <w:rFonts w:hint="eastAsia"/>
        </w:rPr>
      </w:pPr>
      <w:r>
        <w:t>Spordiarstid OÜ</w:t>
      </w:r>
    </w:p>
    <w:sectPr w:rsidR="00D0495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477C"/>
    <w:multiLevelType w:val="multilevel"/>
    <w:tmpl w:val="5B42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F41050"/>
    <w:multiLevelType w:val="multilevel"/>
    <w:tmpl w:val="08C02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D75303"/>
    <w:multiLevelType w:val="multilevel"/>
    <w:tmpl w:val="ABE4E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5F"/>
    <w:rsid w:val="005371FB"/>
    <w:rsid w:val="008163C2"/>
    <w:rsid w:val="00D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</dc:creator>
  <cp:lastModifiedBy>riina</cp:lastModifiedBy>
  <cp:revision>2</cp:revision>
  <cp:lastPrinted>2015-05-26T16:16:00Z</cp:lastPrinted>
  <dcterms:created xsi:type="dcterms:W3CDTF">2015-06-02T11:45:00Z</dcterms:created>
  <dcterms:modified xsi:type="dcterms:W3CDTF">2015-06-02T11:45:00Z</dcterms:modified>
  <dc:language>et-EE</dc:language>
</cp:coreProperties>
</file>